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bCs w:val="1"/>
          <w:sz w:val="34"/>
          <w:szCs w:val="34"/>
        </w:rPr>
      </w:pPr>
      <w:bookmarkStart w:colFirst="0" w:colLast="0" w:name="_1zfjbe1xqk7l" w:id="0"/>
      <w:bookmarkEnd w:id="0"/>
      <w:r w:rsidDel="00000000" w:rsidR="00000000" w:rsidRPr="00000000">
        <w:rPr>
          <w:rFonts w:ascii="Times New Roman" w:cs="Times New Roman" w:eastAsia="Times New Roman" w:hAnsi="Times New Roman"/>
          <w:b w:val="1"/>
          <w:bCs w:val="1"/>
          <w:sz w:val="34"/>
          <w:szCs w:val="34"/>
          <w:rtl w:val="0"/>
        </w:rPr>
        <w:t xml:space="preserve">1st Call for ITC Conference Grants by KGELL COST Action </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KGELL is pleased to announce its </w:t>
      </w:r>
      <w:r w:rsidDel="00000000" w:rsidR="00000000" w:rsidRPr="00000000">
        <w:rPr>
          <w:rFonts w:ascii="Times New Roman" w:cs="Times New Roman" w:eastAsia="Times New Roman" w:hAnsi="Times New Roman"/>
          <w:b w:val="1"/>
          <w:bCs w:val="1"/>
          <w:rtl w:val="0"/>
        </w:rPr>
        <w:t xml:space="preserve">1st Call for Inclusiveness Target Countries (ITC) Conference Grants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This grant supports</w:t>
      </w:r>
      <w:r w:rsidDel="00000000" w:rsidR="00000000" w:rsidRPr="00000000">
        <w:rPr>
          <w:rFonts w:ascii="Times New Roman" w:cs="Times New Roman" w:eastAsia="Times New Roman" w:hAnsi="Times New Roman"/>
          <w:rtl w:val="0"/>
        </w:rPr>
        <w:t xml:space="preserve"> presentations</w:t>
      </w:r>
      <w:r w:rsidDel="00000000" w:rsidR="00000000" w:rsidRPr="00000000">
        <w:rPr>
          <w:rFonts w:ascii="Times New Roman" w:cs="Times New Roman" w:eastAsia="Times New Roman" w:hAnsi="Times New Roman"/>
          <w:rtl w:val="0"/>
        </w:rPr>
        <w:t xml:space="preserve"> of the applicant’s own scientific work (e.g., talks, posters), falling within the scope of KGELL, at a high-level conference (e.g., ISWC, ESWC, ACL, KDD) fully organised by a third party (i.e., not organised or co-organised by KGELL/COST). The aim is to strengthen participation from ITC-based researchers and increase the visibility and dissemination of KGELL-related resul</w:t>
      </w:r>
      <w:r w:rsidDel="00000000" w:rsidR="00000000" w:rsidRPr="00000000">
        <w:rPr>
          <w:rFonts w:ascii="Times New Roman" w:cs="Times New Roman" w:eastAsia="Times New Roman" w:hAnsi="Times New Roman"/>
          <w:rtl w:val="0"/>
        </w:rPr>
        <w:t xml:space="preserve">ts.</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Eligibility: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This call is open to KGELL Action participants affiliated to a legal entity located in an Inclusiveness Target Country </w:t>
      </w:r>
      <w:r w:rsidDel="00000000" w:rsidR="00000000" w:rsidRPr="00000000">
        <w:rPr>
          <w:rFonts w:ascii="Times New Roman" w:cs="Times New Roman" w:eastAsia="Times New Roman" w:hAnsi="Times New Roman"/>
          <w:rtl w:val="0"/>
        </w:rPr>
        <w:t xml:space="preserve">(ITC </w:t>
      </w:r>
      <w:hyperlink r:id="rId6">
        <w:r w:rsidDel="00000000" w:rsidR="00000000" w:rsidRPr="00000000">
          <w:rPr>
            <w:rFonts w:ascii="Times New Roman" w:cs="Times New Roman" w:eastAsia="Times New Roman" w:hAnsi="Times New Roman"/>
            <w:color w:val="1155cc"/>
            <w:u w:val="single"/>
            <w:rtl w:val="0"/>
          </w:rPr>
          <w:t xml:space="preserve">https://www.cost.eu/about/strategy/excellence-and-inclusiveness/</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or a Near Neighbour Country (NNC </w:t>
      </w:r>
      <w:hyperlink r:id="rId7">
        <w:r w:rsidDel="00000000" w:rsidR="00000000" w:rsidRPr="00000000">
          <w:rPr>
            <w:rFonts w:ascii="Times New Roman" w:cs="Times New Roman" w:eastAsia="Times New Roman" w:hAnsi="Times New Roman"/>
            <w:color w:val="1155cc"/>
            <w:u w:val="single"/>
            <w:rtl w:val="0"/>
          </w:rPr>
          <w:t xml:space="preserve">https://www.cost.eu/about/strategy/international-collaboration/</w:t>
        </w:r>
      </w:hyperlink>
      <w:r w:rsidDel="00000000" w:rsidR="00000000" w:rsidRPr="00000000">
        <w:rPr>
          <w:rFonts w:ascii="Times New Roman" w:cs="Times New Roman" w:eastAsia="Times New Roman" w:hAnsi="Times New Roman"/>
          <w:rtl w:val="0"/>
        </w:rPr>
        <w:t xml:space="preserve">). Eligibility is determined automatically in e-COST based on the applicant’s primary affiliation (only applicants fulfilling the ITC eligibility criteria will be able to submit this grant type).</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h8yrule78xmr" w:id="1"/>
      <w:bookmarkEnd w:id="1"/>
      <w:r w:rsidDel="00000000" w:rsidR="00000000" w:rsidRPr="00000000">
        <w:rPr>
          <w:rFonts w:ascii="Times New Roman" w:cs="Times New Roman" w:eastAsia="Times New Roman" w:hAnsi="Times New Roman"/>
          <w:b w:val="1"/>
          <w:bCs w:val="1"/>
          <w:color w:val="000000"/>
          <w:sz w:val="26"/>
          <w:szCs w:val="26"/>
          <w:rtl w:val="0"/>
        </w:rPr>
        <w:t xml:space="preserve">How to submit</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must be submitted via </w:t>
      </w:r>
      <w:r w:rsidDel="00000000" w:rsidR="00000000" w:rsidRPr="00000000">
        <w:rPr>
          <w:rFonts w:ascii="Times New Roman" w:cs="Times New Roman" w:eastAsia="Times New Roman" w:hAnsi="Times New Roman"/>
          <w:b w:val="1"/>
          <w:bCs w:val="1"/>
          <w:rtl w:val="0"/>
        </w:rPr>
        <w:t xml:space="preserve">e-COST</w:t>
      </w:r>
      <w:r w:rsidDel="00000000" w:rsidR="00000000" w:rsidRPr="00000000">
        <w:rPr>
          <w:rFonts w:ascii="Times New Roman" w:cs="Times New Roman" w:eastAsia="Times New Roman" w:hAnsi="Times New Roman"/>
          <w:rtl w:val="0"/>
        </w:rPr>
        <w:t xml:space="preserve"> using the </w:t>
      </w:r>
      <w:r w:rsidDel="00000000" w:rsidR="00000000" w:rsidRPr="00000000">
        <w:rPr>
          <w:rFonts w:ascii="Times New Roman" w:cs="Times New Roman" w:eastAsia="Times New Roman" w:hAnsi="Times New Roman"/>
          <w:b w:val="1"/>
          <w:bCs w:val="1"/>
          <w:rtl w:val="0"/>
        </w:rPr>
        <w:t xml:space="preserve">ITC Conference Grant</w:t>
      </w:r>
      <w:r w:rsidDel="00000000" w:rsidR="00000000" w:rsidRPr="00000000">
        <w:rPr>
          <w:rFonts w:ascii="Times New Roman" w:cs="Times New Roman" w:eastAsia="Times New Roman" w:hAnsi="Times New Roman"/>
          <w:rtl w:val="0"/>
        </w:rPr>
        <w:t xml:space="preserve"> form. The application must include the grant title, start and end dates, requested budget (maximum requestable amount: </w:t>
      </w:r>
      <w:r w:rsidDel="00000000" w:rsidR="00000000" w:rsidRPr="00000000">
        <w:rPr>
          <w:rFonts w:ascii="Times New Roman" w:cs="Times New Roman" w:eastAsia="Times New Roman" w:hAnsi="Times New Roman"/>
          <w:b w:val="1"/>
          <w:bCs w:val="1"/>
          <w:rtl w:val="0"/>
        </w:rPr>
        <w:t xml:space="preserve">1,500 EUR</w:t>
      </w:r>
      <w:r w:rsidDel="00000000" w:rsidR="00000000" w:rsidRPr="00000000">
        <w:rPr>
          <w:rFonts w:ascii="Times New Roman" w:cs="Times New Roman" w:eastAsia="Times New Roman" w:hAnsi="Times New Roman"/>
          <w:rtl w:val="0"/>
        </w:rPr>
        <w:t xml:space="preserve">), and full conference information (title, country, and conference webpage), as well as the attendance type.</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must upload: </w:t>
      </w:r>
      <w:r w:rsidDel="00000000" w:rsidR="00000000" w:rsidRPr="00000000">
        <w:rPr>
          <w:rFonts w:ascii="Times New Roman" w:cs="Times New Roman" w:eastAsia="Times New Roman" w:hAnsi="Times New Roman"/>
          <w:rtl w:val="0"/>
        </w:rPr>
        <w:t xml:space="preserve">the ITC Conference Grant Application (COST template), a copy of the abstract of the accepted oral presentation, the acceptance (or invitation) letter from the conference organisers, and a motivation letter explaining (i) how the presentation contributes to KGELL’s objectives and visibility and (ii) how this grant will make a difference to the applicant’s career development.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Where possible, applicants are expected to include the following acknowledgement to KGELL in the conference paper and/or presentation: “</w:t>
      </w:r>
      <w:r w:rsidDel="00000000" w:rsidR="00000000" w:rsidRPr="00000000">
        <w:rPr>
          <w:rFonts w:ascii="Times New Roman" w:cs="Times New Roman" w:eastAsia="Times New Roman" w:hAnsi="Times New Roman"/>
          <w:i w:val="1"/>
          <w:iCs w:val="1"/>
          <w:sz w:val="24"/>
          <w:szCs w:val="24"/>
          <w:rtl w:val="0"/>
        </w:rPr>
        <w:t xml:space="preserve">This publication is based upon work from COST Action CA24121 - Knowledge Graphs in the Era of Large Language Models (KGELL), supported by COST (European Cooperation in Science and Technology, </w:t>
      </w:r>
      <w:hyperlink r:id="rId8">
        <w:r w:rsidDel="00000000" w:rsidR="00000000" w:rsidRPr="00000000">
          <w:rPr>
            <w:rFonts w:ascii="Times New Roman" w:cs="Times New Roman" w:eastAsia="Times New Roman" w:hAnsi="Times New Roman"/>
            <w:i w:val="1"/>
            <w:iCs w:val="1"/>
            <w:color w:val="1155cc"/>
            <w:sz w:val="24"/>
            <w:szCs w:val="24"/>
            <w:u w:val="single"/>
            <w:rtl w:val="0"/>
          </w:rPr>
          <w:t xml:space="preserve">https://www.cost.eu</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Incomplete applications will not be considered.</w:t>
      </w:r>
    </w:p>
    <w:p w:rsidR="00000000" w:rsidDel="00000000" w:rsidP="00000000" w:rsidRDefault="00000000" w:rsidRPr="00000000" w14:paraId="00000007">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klazd8gdrb9t" w:id="2"/>
      <w:bookmarkEnd w:id="2"/>
      <w:r w:rsidDel="00000000" w:rsidR="00000000" w:rsidRPr="00000000">
        <w:rPr>
          <w:rFonts w:ascii="Times New Roman" w:cs="Times New Roman" w:eastAsia="Times New Roman" w:hAnsi="Times New Roman"/>
          <w:b w:val="1"/>
          <w:bCs w:val="1"/>
          <w:color w:val="000000"/>
          <w:sz w:val="26"/>
          <w:szCs w:val="26"/>
          <w:rtl w:val="0"/>
        </w:rPr>
        <w:t xml:space="preserve">Evaluation</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will be evaluated competitively based on the expected contribution of the presentation to KGELL dissemination and visibility, the relevance and quality of the contribution, and COST inclusiveness considerations (including geographical spread, ITC participation, career stage support, and gender balance, where applicable).</w:t>
      </w:r>
    </w:p>
    <w:p w:rsidR="00000000" w:rsidDel="00000000" w:rsidP="00000000" w:rsidRDefault="00000000" w:rsidRPr="00000000" w14:paraId="00000009">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ajsa7gw1eweh" w:id="3"/>
      <w:bookmarkEnd w:id="3"/>
      <w:r w:rsidDel="00000000" w:rsidR="00000000" w:rsidRPr="00000000">
        <w:rPr>
          <w:rFonts w:ascii="Times New Roman" w:cs="Times New Roman" w:eastAsia="Times New Roman" w:hAnsi="Times New Roman"/>
          <w:b w:val="1"/>
          <w:bCs w:val="1"/>
          <w:color w:val="000000"/>
          <w:sz w:val="26"/>
          <w:szCs w:val="26"/>
          <w:rtl w:val="0"/>
        </w:rPr>
        <w:t xml:space="preserve">KGELL policy on submissions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call, each applicant may submit </w:t>
      </w:r>
      <w:r w:rsidDel="00000000" w:rsidR="00000000" w:rsidRPr="00000000">
        <w:rPr>
          <w:rFonts w:ascii="Times New Roman" w:cs="Times New Roman" w:eastAsia="Times New Roman" w:hAnsi="Times New Roman"/>
          <w:b w:val="1"/>
          <w:bCs w:val="1"/>
          <w:rtl w:val="0"/>
        </w:rPr>
        <w:t xml:space="preserve">only one application per call round</w:t>
      </w:r>
      <w:r w:rsidDel="00000000" w:rsidR="00000000" w:rsidRPr="00000000">
        <w:rPr>
          <w:rFonts w:ascii="Times New Roman" w:cs="Times New Roman" w:eastAsia="Times New Roman" w:hAnsi="Times New Roman"/>
          <w:rtl w:val="0"/>
        </w:rPr>
        <w:t xml:space="preserve">, choosing a single KGELL grant track. Multiple submissions across different tracks within the same round are not permitted. For more information on the ITC Conference Grants, see the </w:t>
      </w:r>
      <w:hyperlink r:id="rId9">
        <w:r w:rsidDel="00000000" w:rsidR="00000000" w:rsidRPr="00000000">
          <w:rPr>
            <w:rFonts w:ascii="Times New Roman" w:cs="Times New Roman" w:eastAsia="Times New Roman" w:hAnsi="Times New Roman"/>
            <w:color w:val="1155cc"/>
            <w:u w:val="single"/>
            <w:rtl w:val="0"/>
          </w:rPr>
          <w:t xml:space="preserve">Annotated Rules for Cost Actions:</w:t>
        </w:r>
      </w:hyperlink>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Annex2</w:t>
        </w:r>
      </w:hyperlink>
      <w:r w:rsidDel="00000000" w:rsidR="00000000" w:rsidRPr="00000000">
        <w:rPr>
          <w:rFonts w:ascii="Times New Roman" w:cs="Times New Roman" w:eastAsia="Times New Roman" w:hAnsi="Times New Roman"/>
          <w:rtl w:val="0"/>
        </w:rPr>
        <w:t xml:space="preserve">. For more information on the application procedure, please consult the </w:t>
      </w:r>
      <w:hyperlink r:id="rId12">
        <w:r w:rsidDel="00000000" w:rsidR="00000000" w:rsidRPr="00000000">
          <w:rPr>
            <w:rFonts w:ascii="Times New Roman" w:cs="Times New Roman" w:eastAsia="Times New Roman" w:hAnsi="Times New Roman"/>
            <w:color w:val="1155cc"/>
            <w:u w:val="single"/>
            <w:rtl w:val="0"/>
          </w:rPr>
          <w:t xml:space="preserve">Grant Awarding</w:t>
        </w:r>
      </w:hyperlink>
      <w:r w:rsidDel="00000000" w:rsidR="00000000" w:rsidRPr="00000000">
        <w:rPr>
          <w:rtl w:val="0"/>
        </w:rPr>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User Guide</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Deadline</w:t>
      </w:r>
      <w:r w:rsidDel="00000000" w:rsidR="00000000" w:rsidRPr="00000000">
        <w:rPr>
          <w:rFonts w:ascii="Times New Roman" w:cs="Times New Roman" w:eastAsia="Times New Roman" w:hAnsi="Times New Roman"/>
          <w:rtl w:val="0"/>
        </w:rPr>
        <w:t xml:space="preserve">: 15 April 2026 (23:59 Brussels time CET).</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Notification</w:t>
      </w:r>
      <w:r w:rsidDel="00000000" w:rsidR="00000000" w:rsidRPr="00000000">
        <w:rPr>
          <w:rFonts w:ascii="Times New Roman" w:cs="Times New Roman" w:eastAsia="Times New Roman" w:hAnsi="Times New Roman"/>
          <w:rtl w:val="0"/>
        </w:rPr>
        <w:t xml:space="preserve">: 1 May 2026 (23:59 Brussels time CET).</w:t>
      </w:r>
    </w:p>
    <w:p w:rsidR="00000000" w:rsidDel="00000000" w:rsidP="00000000" w:rsidRDefault="00000000" w:rsidRPr="00000000" w14:paraId="0000000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Presentation completion date:</w:t>
      </w:r>
      <w:r w:rsidDel="00000000" w:rsidR="00000000" w:rsidRPr="00000000">
        <w:rPr>
          <w:rFonts w:ascii="Times New Roman" w:cs="Times New Roman" w:eastAsia="Times New Roman" w:hAnsi="Times New Roman"/>
          <w:rtl w:val="0"/>
        </w:rPr>
        <w:t xml:space="preserve"> the conference presentation must take place </w:t>
      </w:r>
      <w:r w:rsidDel="00000000" w:rsidR="00000000" w:rsidRPr="00000000">
        <w:rPr>
          <w:rFonts w:ascii="Times New Roman" w:cs="Times New Roman" w:eastAsia="Times New Roman" w:hAnsi="Times New Roman"/>
          <w:b w:val="1"/>
          <w:bCs w:val="1"/>
          <w:rtl w:val="0"/>
        </w:rPr>
        <w:t xml:space="preserve">no later than 1 November 2026</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Submission of report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report must be submitted in e-COST after the conference, including (as required) a certificate of attendance, the conference programme/book of abstracts or proceedings indicating the oral presentation, and a </w:t>
      </w:r>
      <w:r w:rsidDel="00000000" w:rsidR="00000000" w:rsidRPr="00000000">
        <w:rPr>
          <w:rFonts w:ascii="Times New Roman" w:cs="Times New Roman" w:eastAsia="Times New Roman" w:hAnsi="Times New Roman"/>
          <w:rtl w:val="0"/>
        </w:rPr>
        <w:t xml:space="preserve">copy of the material delivered </w:t>
      </w:r>
      <w:r w:rsidDel="00000000" w:rsidR="00000000" w:rsidRPr="00000000">
        <w:rPr>
          <w:rFonts w:ascii="Times New Roman" w:cs="Times New Roman" w:eastAsia="Times New Roman" w:hAnsi="Times New Roman"/>
          <w:rtl w:val="0"/>
        </w:rPr>
        <w:t xml:space="preserve">in their</w:t>
      </w:r>
      <w:r w:rsidDel="00000000" w:rsidR="00000000" w:rsidRPr="00000000">
        <w:rPr>
          <w:rFonts w:ascii="Times New Roman" w:cs="Times New Roman" w:eastAsia="Times New Roman" w:hAnsi="Times New Roman"/>
          <w:rtl w:val="0"/>
        </w:rPr>
        <w:t xml:space="preserve"> oral presentation.</w:t>
      </w: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Contact / Further information: </w:t>
      </w:r>
      <w:r w:rsidDel="00000000" w:rsidR="00000000" w:rsidRPr="00000000">
        <w:rPr>
          <w:rFonts w:ascii="Times New Roman" w:cs="Times New Roman" w:eastAsia="Times New Roman" w:hAnsi="Times New Roman"/>
          <w:rtl w:val="0"/>
        </w:rPr>
        <w:t xml:space="preserve">KGELL Grant Awarding Coordinator via e-Cost portal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st.eu/uploads/2025/11/COST-094-21-Annotated-Rules-for-COST-Actions-Level-C-V3.0-25-IX-2025.pdf" TargetMode="External"/><Relationship Id="rId10" Type="http://schemas.openxmlformats.org/officeDocument/2006/relationships/hyperlink" Target="https://www.cost.eu/uploads/2025/11/COST-094-21-Annotated-Rules-for-COST-Actions-Level-C-V3.0-25-IX-2025.pdf" TargetMode="External"/><Relationship Id="rId13" Type="http://schemas.openxmlformats.org/officeDocument/2006/relationships/hyperlink" Target="https://www.cost.eu/uploads/2025/01/COST-Grant-Awarding-user-guide.pdf" TargetMode="External"/><Relationship Id="rId12" Type="http://schemas.openxmlformats.org/officeDocument/2006/relationships/hyperlink" Target="https://www.cost.eu/uploads/2025/01/COST-Grant-Awarding-user-gui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st.eu/uploads/2025/11/COST-094-21-Annotated-Rules-for-COST-Actions-Level-C-V3.0-25-IX-2025.pdf" TargetMode="External"/><Relationship Id="rId5" Type="http://schemas.openxmlformats.org/officeDocument/2006/relationships/styles" Target="styles.xml"/><Relationship Id="rId6" Type="http://schemas.openxmlformats.org/officeDocument/2006/relationships/hyperlink" Target="https://www.cost.eu/about/strategy/excellence-and-inclusiveness/" TargetMode="External"/><Relationship Id="rId7" Type="http://schemas.openxmlformats.org/officeDocument/2006/relationships/hyperlink" Target="https://www.cost.eu/about/strategy/international-collaboration/" TargetMode="External"/><Relationship Id="rId8" Type="http://schemas.openxmlformats.org/officeDocument/2006/relationships/hyperlink" Target="https://eu-central-1.protection.sophos.com?d=cost.eu&amp;u=aHR0cHM6Ly93d3cuY29zdC5ldS8=&amp;i=NjUwODE2NDc4NGY2Y2E0YWI0MmEzNzJk&amp;t=cEEzd3cxTm9yRmlUUENuOW10eTNycS96SEZGRG1WajNHOElLZlJYWW1EZz0=&amp;h=d86c0d4af3994b779f849fb084e5abf1&amp;s=AVNPUEhUT0NFTkNSWVBUSVZPsYK3OkYhQFMjYZvJdYqoLhW1RUQY_W7_SN6xCBvhGkKDDxPoRaJ7qRPqIndW7CE7UonxjT2ODZYNzgol73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