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3yu6edpupphx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1st Call for Mobility Grants of KGELL COST Action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KGELL is pleased to announce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1st call for Short-Term Scientific Missions (STSMs)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We aim to fund exchange visits supporting physical mobility, capacity building, and knowledge transfer through bilateral or multilateral collaboration during a short research stay at a host institution (typically in a country other than the applicant’s country of affiliation). They are designed to strengthen the KGELL network and accelerate joint outputs across the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Applications are welcome on topics aligned with KGELL objectives and Working Groups, including (but not limited to): augmenting LLMs with KGs; domain-specific LLM tasks based on KGs; KG construction assisted by LLMs; multilinguality for KGs and LLMs; bias and ethics; evaluation and validation frameworks.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xlpsxo7y83kq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How to apply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Applications must be submitted in e-COST under STSM. Applicants must upload (i) the STSM Grant Application (COST template), (ii) a confirmation from the host institution agreeing to receive the applicant, and (iii) a motivation letter explaining the planned work, the expected outcomes, the relevance to KGELL, and how the STSM will make a difference to the applicant’s career (skills, training, networking, long-term collaboration, publications, or future opportunities). Applications missing any required document will not be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line with COST rules,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grant amount may be up to 2,100 euros,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the final amount determined based on the request, the mission details (duration/location), and 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available budget.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ensure fair distribution of opportunities, each applicant may submit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only one application per call round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choosing a single KGELL grant track. Multiple submissions across different tracks within the same round are not permitted.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7mqj9acd5o68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STSM proposals will be ranked competitively based on the scientific quality and feasibility of the plan, alignment with KGELL objectives and WG priorities, the expected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outputs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 impact for the Action, and COST inclusiveness considerations (including geographical spread, ITC participation, support to early-career researchers, and gender balance, where applicable).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40eoz1u4l23k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the end of the STSM,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grantees are required to submit a final report through e-cost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The report must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clearly describe the activities carried out, the results achieved, and the concrete outputs produced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(e.g., publications, datasets, software, joint proposals, or follow-up collaborations), demonstrating the added value of the mobility for KGELL.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Reports will be evaluated by the KGELL management. In case of a negative evaluation of the final report, the grantee will not be eligible to apply for future KGELL calls.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more information on the STSM Grants, see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Annotated Rules for Cost Actions: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Annex2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For more information on the application procedure, please consult the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Grant Awarding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Deadline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15 April 2026 (23:59 Brussels time CET).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Notification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1 May 2026 (23:59 Brussels time CET).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STSM completion dates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1st November 2026 at the latest.</w:t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Submission of report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30 days after the completion of the STSM or 15 days after the end of the Grant Period.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Contact / Further information: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KGELL Grant Awarding Coordinator via e-Cost portal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st.eu/uploads/2025/01/COST-Grant-Awarding-user-guide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st.eu/uploads/2025/11/COST-094-21-Annotated-Rules-for-COST-Actions-Level-C-V3.0-25-IX-2025.pdf" TargetMode="External"/><Relationship Id="rId7" Type="http://schemas.openxmlformats.org/officeDocument/2006/relationships/hyperlink" Target="https://www.cost.eu/uploads/2025/11/COST-094-21-Annotated-Rules-for-COST-Actions-Level-C-V3.0-25-IX-2025.pdf" TargetMode="External"/><Relationship Id="rId8" Type="http://schemas.openxmlformats.org/officeDocument/2006/relationships/hyperlink" Target="https://www.cost.eu/uploads/2025/11/COST-094-21-Annotated-Rules-for-COST-Actions-Level-C-V3.0-25-IX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